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A7" w:rsidRPr="00AE5ED3" w:rsidRDefault="007D22A7" w:rsidP="007D22A7">
      <w:pPr>
        <w:pStyle w:val="a3"/>
        <w:spacing w:before="136" w:beforeAutospacing="0" w:after="136" w:afterAutospacing="0" w:line="326" w:lineRule="atLeast"/>
        <w:jc w:val="center"/>
        <w:rPr>
          <w:color w:val="000000"/>
          <w:sz w:val="30"/>
          <w:szCs w:val="30"/>
        </w:rPr>
      </w:pPr>
      <w:r w:rsidRPr="00AE5ED3">
        <w:rPr>
          <w:rStyle w:val="a4"/>
          <w:rFonts w:hint="eastAsia"/>
          <w:color w:val="000000"/>
          <w:sz w:val="30"/>
          <w:szCs w:val="30"/>
        </w:rPr>
        <w:t>2016年</w:t>
      </w:r>
      <w:hyperlink r:id="rId6" w:history="1">
        <w:r w:rsidRPr="001002FF">
          <w:rPr>
            <w:rStyle w:val="a5"/>
            <w:rFonts w:hint="eastAsia"/>
            <w:b/>
            <w:bCs/>
            <w:sz w:val="30"/>
            <w:szCs w:val="30"/>
          </w:rPr>
          <w:t>中级会计职称考试</w:t>
        </w:r>
      </w:hyperlink>
      <w:r w:rsidRPr="00AE5ED3">
        <w:rPr>
          <w:rStyle w:val="a4"/>
          <w:rFonts w:hint="eastAsia"/>
          <w:color w:val="000000"/>
          <w:sz w:val="30"/>
          <w:szCs w:val="30"/>
        </w:rPr>
        <w:t>《中级会计实务》练习题精选（一）</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若材料用于生产产品，当生产的产品没有减值，但材料可变现净值低于其成本，则期末材料应按照可变现净值计量。（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本题考核存货的期末计价。若材料用于生产产品，当所生产的产品没有减值，则材料期末按照成本计量。</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下列科目中，在资产负债表“存货”项目中列示的有（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A、受托代销商品</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B、委托代销商品</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C、委托加工物资</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D、受托加工物资</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BC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本题考核委托加工取得存货成本的计量。受托代销商品和受托加工物资，不属于企业的存货，故不得在资产负债表“存货”项目中列示。</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甲企业发出实际成本为140万元的原材料，委托乙企业加工成半成品，收回后用于生产应税消费品，甲企业和乙企业均为增值税一般纳税人，甲企业根据乙企业开具的增值税专用发票向其支付加工费4万元和增值税0.68万元，另支付消费税16万元，假定不考虑其他相关税费，甲企业收回该批半成品的入账价值为（ ）万元。</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A、160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B、144.68</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C、144</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D、160.68</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委托加工取得存货成本的计量。由于委托加工物资收回后用于继续生产应税消费品，所以消费税计入“应交税费——应交消费税”，不计入收回的委托加工物资成本。收回该批半成品的入账价值＝140＋4＝144（万元）。</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某工业企业为增值税一般纳税人，2011年4月购入A材料1 000公斤，增值税专用发票上注明的买价为30 000元，增值税额为5 100元，该批A材料在运输途中发生1％的合理损耗，实际验收入库990公斤，在入库前发生挑选整理费用300元。该批入库A材料的实际总成本为（ ）元。</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A、29 700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B、29 997</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C、30 300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D、35 400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本题考核外购存货成本的计量。该批入库A材料的实际总成本＝30 000＋300＝30 300(元)。</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如果本期导致存货可变现净值高于成本的因素不是因为以前导致存货减值的影响因素消失，而是其他因素造成存货价格回升的，也可以将该存货跌价准备转回。（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本题考核可变现净值的核算。如果本期导致存货可变现净值高于其成本的因素不是以前导致存货减值的影响因素，则企业会计准则不允许将该存货跌价准备转回。</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X公司采用成本与可变现净值孰低计量期末存货，按单项存货计提存货跌价准备。2012年12月31日，X公司库存自制半成品成本为70万元，预计加工完成该产品尚需发生加工费用20万元；预计产成品不含增值税的销售价格为100万元，销售费用为11万元。假定该库存自制半成品未计提存货跌价准备，不考虑其他因素。2012年12月31日，X公司该库存自制半成品应计提的存货跌价准备为（ ）万元。</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A、1</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B、7</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C、10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D、11</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存货跌价准备的核算。自制半成品是为了生产产品，所以其减值是体现在生产的产品中的。产成品成本=70+20=90，产成品可变现净值=100-11=89，产成品可变现净值低于成本，产成品发生了减值，所以判定自制半成品也发生减值；自制半成品的成本=70，自制半成品的可变现净值＝100－20－11＝69，所以自制半成品应计提存货跌价准备1万元。</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即使不是因为以前减记存货价值的影响因素消失，而是其他影响因素造成存货价格回升的，也可以将该存货跌价准备转回。（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本题考核存货跌价准备的转回。如果本期导致存货可变现净值高于其成本的影响因素不是以前减记该存货价值的影响因素，则企业会计准则不允许将该存货跌价准备转回。</w:t>
      </w:r>
    </w:p>
    <w:p w:rsidR="007D22A7" w:rsidRPr="00AE5ED3" w:rsidRDefault="007D22A7" w:rsidP="007D22A7">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7"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《中级会计实务》练习题精选（二）</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下列项目中，影响固定资产入账价值的有（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A.购买设备发生的运杂费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B.取得固定资产而交纳的契税、耕地占用税</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C.固定资产达到预定可使用状态后发生的专门借款利息费用</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D.施工过程中盘亏工程物资的净损失</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ABD</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固定资产的初始计量。选项C，计入财务费用；选项D，冲减在建工程成本，影响固定资产的入账价值。当工程物资发生盘盈、盘亏、报废、毁损，若工程项目尚未完工的，计入或冲减所建工程项目的成本；工程已经完工的，计入当期营业外收支。</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企业一般应当按月提取折旧，当月增加的固定资产，当月计提折旧；当月减少的固定资产，当月不提折旧。（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本题考核固定资产的折旧。企业一般应当按月提取折旧，当月增加的固定资产，当月不计提折旧；当月减少的固定资产，当月照提折旧。</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甲企业对某一项生产设备进行改良，该生产设备原价为1 000万元，已提折旧500万元，改良中发生各项支出共计100万元。改良时被替换部分的账面价值为20万元。则该项固定资产的入账价值为（ ）万元。</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A.1 000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B.1 100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C.580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D.600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固定资产的确认。按现行规定，固定资产的更新改造等后续支出，符合固定资产确认条件的，应当计入固定资产成本，如有被替换的部分，应扣除其账面价值；所以改良后的固定资产的入账价值＝1 000－500＋100－20＝580（万元）。</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固定资产的定期大修理支出，应当于发生时计入管理费用或销售费用。（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本题考核固定资产的后续支出。固定资产的定期大修理支出，满足资本化条件的，应当资本化。</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在已确认减值损失的资产价值恢复时，下列资产的减值损失可以通过损益转回的有（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A.持有至到期投资的减值损失</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B.贷款及应收款项的减值损失</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C.可供出售权益工具投资的减值损失</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D.在活跃市场中没有报价且其公允价值不能可靠计量的权益工具投资</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固定资产的减值。按照企业会计准则的规定，可供出售权益工具投资发生的减值损失，不得通过损益转回，应该通过资本公积转回。但是，在活跃市场中没有报价且其公允价值不能可靠计量的权益工具投资，或与该权益工具挂钩并须通过交付该权益工具结算的衍生金融资产发生的减值损失，不得转回。</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高危行业企业按照国家规定提取的安全生产费，应当计入相关产品成本或当期损益，同时计入“预计负债”科目。（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本题考核安全生产费的核算。应计入“专项储备”科目。</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通过“固定资产清理”科目核算的固定资产处置净损益,可能转入的科目有（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A.管理费用</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B.营业外支出</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C.资本公积</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D.营业外收入</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ABD</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本题考核固定资产的处置。固定资产清理完成后，“固定资产清理”科目的余额，属于筹建期间的，借记或贷记“管理费用”科目；属于生产经营期间的，借记“营业外支出”科目或贷记“营业外收入”科目。 </w:t>
      </w:r>
    </w:p>
    <w:p w:rsidR="007D22A7" w:rsidRPr="00AE5ED3" w:rsidRDefault="007D22A7" w:rsidP="007D22A7">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8"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《中级会计实务》练习题精选（三）</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下列各项中，属于投资性房地产的是（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A、按国家规定确认的闲置土地</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B、企业以经营租赁方式租出的写字楼</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C、企业拥有并自行经营的饭店</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D、企业持有拟增值后转让的建筑物</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B</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投资性房地产的范围。选项A不属于持有并准备增值后转让的土地使用权，不符合投资性房地产定义；选项C是自用房地产；选项D，企业持有拟增值后转让的土地使用权属于投资性房地产，但建筑物必须是已经出租的才属于投资性房地产。</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自行建造投资性房地产期间，发生的土地开发费、建筑成本、安装成本等都计入投资性房地产成本。（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投资性房地产的确认和初始计量。自行建造投资性房地产，其成本由建造该项资产达到预定可使用状态前发生的必要支出构成，包括土地开发费用、建筑成本、安装成本、应予以资本化的借款费用、支付的其他费用等。</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关于投资性房地产后续计量模式的转换，下列说法不正确的有（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A、成本模式转为公允价值模式的，应当作为会计估计变更</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B、已经采用成本模式计量的投资性房地产，不得从成本模式转为公允价值模式</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C、企业对投资性房地产的计量模式可以随意选择</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D、已经采用公允价值模式计量的投资性房地产，不得从公允价值转为成本模式</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投资性房地产后续计量模式的变更。企业对投资性房地产从成本模式转为公允价值模式的应当作为会计政策变更进行处理，选项A、B不对；企业对投资性房地产的计量模式一经确定，不得随意变更，选项C不对。</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非投资性房地产转换为采用成本模式计量的投资性房地产的相关会计处理，不影响当期损益。（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本题考核自用房地产转换为投资性房地产。因为非投资性房地产转换为采用成本模式计量的投资性房地产，是对应结转，不会出现差额。</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关于房地产转换日的确定，下列表述不正确的是（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A、企业将原本用于出租的房地产改用于经营管理，则该房地产的转换日为房地产达到自用状态，企业开始将房地产用于经营管理的日期</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B、房地产开发企业将其持有的开发产品以经营租赁的方式出租，则该房地产的转换日为房地产的租赁期开始日</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C、企业将自用土地使用权改用于资本增值，则该房地产的转换日为计划将自用土地使用权停止自用的日期</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D、自用土地使用权停止自用改用于出租，转换日一般为租赁期开始日</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本题考核房地产转换日的确定。企业将原本用于经营管理的土地使用权改用于资本增值，则该房地产的转换日应确定为自用土地使用权停止自用后，确定用于资本增值的日期。</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房地产开发企业销售的或为销售而正在开发的商品房和土地，属于企业的投资性房地产。（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本题考核投资性房地产的范围。这属于企业的存货，而不是投资性房地产。</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企业出售、转让投资性房地产时，应将所处置投资性房地产的收入计入（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A、其他业务收入</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B、公允价值变动损益</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C、营业外收入</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D、投资收益</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本题考核投资性房地产的处置。该处置的收入应记入“其他业务收入”科目。 </w:t>
      </w:r>
    </w:p>
    <w:p w:rsidR="007D22A7" w:rsidRPr="00AE5ED3" w:rsidRDefault="007D22A7" w:rsidP="007D22A7">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9"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《中级会计实务》练习题精选（四）</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非企业合并方式下取得长期股权投资，下列各项中影响初始投资成本的有（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A、投资时支付的不含应收股利的价款</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B、为取得长期股权投资而发生的评估、审计、咨询费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C、投资时支付的税金、手续费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D、投资时支付款项中所含的已宣告而尚未领取的现金股利</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本题考核以企业合并以外的方式取得长期股权投资的初始计量。投资付款额中所含的已宣告而尚未领取的现金股利应确认为“应收股利”。</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企业通过同一控制下的企业合并取得长期股权投资，并以支付现金作为合并对价的，其长期股权投资的初始投资成本为（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A、购买价款</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B、购买价款加相关费用</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C、投资方取得被合并方相对于最终控制方的所有者权益账面价值的份额</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D、投资方取得被合并方所有者权益公允价值的份额</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【正确答案】 C</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同一控制下企业合并形成长期股权投资的初始计量。按照企业会计准则的规定，同一控制下的企业合并取得的长期股权投资，应当在合并日按照取得被合并方相对于最终控制方的所有者权益账面价值的份额作为长期股权投资的初始投资成本。</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长期股权投资成本法与权益法转换时都应进行相应的追溯调整。（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本题考核成本法和权益法的转换。长期股权投资权益法转为成本法不需要追溯调整，成本法转为权益法需要追溯调整</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4.单选题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甲公司持有乙公司30%的有表决权股份，能够对乙公司生产经营决策施加重大影响。2011年，甲公司将其账面价值为500万元的商品以400万元的价格出售给乙公司，有证据表明交易价格与账面价值之间的差额是由于该资产发生了减值损失。2011年资产负债表日，该批商品尚未对外部第三方出售。假定甲企业取得该项投资时，乙公司各项可辨认资产、负债的公允价值与其账面价值相同，双方在以前期间未发生过内部交易。乙公司2011年净利润为1 000万元。甲公司2011年确认的投资收益为（ ）万元。</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A、300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B、330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C、370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D、0</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权益法涉及顺逆流交易时的处理。有证据表明交易价格400万元与甲企业该商品账面价值500万元之间的差额是该资产发生了减值损失，在确认投资损益时不应予以抵销。所以应确认的投资收益=1 000×30%=300(万元)。</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权益法下，投资企业收到被投资单位分派股票股利时，只会引起股份数量的变化，不会引起所有者权益金额的变化，所以投资企业不需要调整长期股权投资的账面价值。（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【答案解析】 本题考核长期股权投资权益法的核算。被投资单位分派股票股利时，投资单位不作账务处理。</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6.多选题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下列关于共同控制经营及共同控制资产的表述中，不正确的有（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A、共同控制经营属于独立核算主体</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B、出资方不应确认共同控制资产，只需备查登记</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C、对于共同控制资产，出资方应按出资额确认一项长期股权投资</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D、对于共同控制经营，出资方应按出资额确认一项长期股权投资</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ABCD</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本题考核共同控制资产和共同控制经营。选项A，共同控制经营不构成一个独立的会计主体；选项B，对于共同控制资产，每一合营者按照合同约定享有一定份额并据此确认本企业的资产。</w:t>
      </w:r>
    </w:p>
    <w:p w:rsidR="007D22A7" w:rsidRDefault="007D22A7" w:rsidP="007D22A7">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7.判断题</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权益法下，投资企业处置长期股权投资时，还应该将与该股权投资有关的“资本公积——其他资本公积”金额转入到营业外收入科目。（ ）</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7D22A7" w:rsidRDefault="007D22A7" w:rsidP="007D22A7">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本题考核长期股权投资的处置。权益法下，投资企业处置长期股权投资时，还应该将与该股权投资有关的资本公积——其他资本公积金额转入到投资收益科目。</w:t>
      </w:r>
    </w:p>
    <w:p w:rsidR="00B63718" w:rsidRPr="00AE5ED3" w:rsidRDefault="00B63718" w:rsidP="00B63718">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10"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《中级会计实务》练习题精选（五）</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资本成本率是企业用以确定项目要求达到的投资报酬率的最低标准。（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资本成本是衡量资本结构优化程度的标准，也是对投资获得经济效益的最低要求，通常用资本成本率表示。</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融资规模对资本成本的影响很大。（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一般说来，融资规模在一定限度内，并不引起资本成本的明显变化，当融资规模突破一定限度时，才引起资本成本的明显变化。</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资本成本是评价投资项目可行性的唯一标准。 （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资本成本是评价投资项目可行性的主要标准。任何投资项目，如果它预期的投资报酬率超过该项目使用资金的资本成本率，则该项目在经济上就是可行的。</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如果资本市场缺乏效率，证券的市场流动性低，那么通过资本市场筹集的资本其资本成本就比较低。（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如果资本市场缺乏效率，证券的市场流动性低，那么通过资本市场筹集的资本其资本成本就比较高。</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某公司根据历年销售收入和资金需求的关系，建立的资金需要量模型是Y＝7520＋8.5X。该公司2014年总资金为16020万元，预计2015年销售收入为1200万元，则预计2015年需要增加的资金为（ ）万元。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A、1700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B、1652</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C、17720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D、17672</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2015年需要的资金总额＝7520＋8.5×1200＝17720（万元），2015年需要增加的资金＝17720－16020＝1700（万元）。</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lastRenderedPageBreak/>
        <w:t>6.单选题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在资金需要量预测的方法中，建立在将资金划分为变动资金、不变资金和半变动资金的基础上的方法称为（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A、销售百分比法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B、比率预测法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C、资金习性预测法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D、因素分析法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资金习性预测法是建立在将资金划分为变动资金、不变资金和半变动资金的基础上的方法。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依据：2015年教材第五章第125页。</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按照资金同产销量之间的依存关系，可以把资金进行分类。以下不属于其类别的是（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A、半变动资金</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B、半固定资金</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C、不变资金</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D、变动资金</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B</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按照资金同产销量之间的依存关系，可以把资金区分为不变资金、变动资金和半变动资金。  </w:t>
      </w:r>
    </w:p>
    <w:p w:rsidR="00B63718" w:rsidRPr="00AE5ED3" w:rsidRDefault="00B63718" w:rsidP="00B63718">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11"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《中级会计实务》练习题精选（六）</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当换入资产的未来现金流量在风险、时间和金额方面与换出资产显著不同时，则说明该项非货币性资产交换具有商业实质。（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本题考核是否具有商业实质与公允价值能否可靠计量的判断。换入资产的未来现金流量风险、时间和金额等方面与换出资产显著不同时，说明具有商业实质。</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A公司以一项无形资产换取B公司一项固定资产，A公司无形资产账面价值为50万元，B公司固定资产的账面价值为38万元，固定资产和无形资产的公允价值均不能可靠计量，A公司向B公司收取8万元的银行存款，为换入固定资产而支付相关运杂费2万元，不考虑增值税等其他相关税费，则A公司换入固定资产的入账价值为（ ）万元。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A、44</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B、38</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C、50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D、42</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本题考核以账面价值计量的非货币性资产交换的会计核算。A公司换入资产的入账价值＝50－8+2＝44（万元）。</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甲公司与乙公司(均为增值税一般纳税人)进行非货币性资产交换，具有商业实质且公允价值能够可靠地计量，交换前后均作为存货核算。以下影响甲公司换入资产入账价值的项目有（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A、乙公司支付的补价</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B、甲公司换入存货支付的增值税进项税额</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C、甲公司换出存货的公允价值</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D、甲公司换出存货的账面价值</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以公允价值计量的非货币性资产交换换入资产成本的确定。选项D，在具有商业实质的非货币性资产交换中，换入资产的入账价值是以换出资产的公允价值为基础加上支付的补价(或是减去收到的补价)再加上为换入资产而支付的相关税费来确定的，因此选项D是错误的。</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下列属于货币性资产的是（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A、可供出售金融资产</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B、交易性金融资产</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C、准备持有至到期的债券投资</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D、库存商品</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本题考核货币性资产与非货币性资产的判断。货币性资产是指持有的货币资金和将以固定或可确定的金额收取的资产。主要包括现金、银行存款、应收账款和应收票据以及准备持有至到期的债券投资等。</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lastRenderedPageBreak/>
        <w:t>5.判断题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多项非货币性资产交换具有商业实质，且换入资产的公允价值能够可靠计量的，应当按照换入资产的公允价值作为换入资产的入账价值。（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本题考核多项非货币性资产交换的处理。这种情况下，应按照换入各项资产的公允价值占换入资产公允价值总额的比例，对换入资产的成本总额进行分配，确定各项换入资产的成本。</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甲企业以一项无形资产（土地使用权）换入一批A材料，无形资产的账面价值为150 000元，公允价值为105 000元，A材料的公允价值为110 000元，增值税税率为17％，计税价格等于公允价值，甲企业向对方支付银行存款23 700元。假定该项交换具有商业实质，不考虑除增值税外的其他税费，则A材料的入账价值为（ ）元。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A、91 300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B、110 000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C、128 700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D、131 300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B</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本题考核具有商业实质情况下换入资产入账价值的确定。换入A材料的入账价值＝105 000＋（23 700－110 000×17％）＝110 000(元)。</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非货币性资产交换的核算中，无论是支付补价的一方还是收到补价的一方，都要解决换入资产的入账价值和确认换出资产的资产处置损益的问题。（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本题考核非货币性资产交换换出资产的相关处理。只有在非货币性资产交换具有商业实质且公允价值能够可靠计量的情况下，才确认换出资产的处置损益。  </w:t>
      </w:r>
    </w:p>
    <w:p w:rsidR="00B63718" w:rsidRPr="00AE5ED3" w:rsidRDefault="00B63718" w:rsidP="00B63718">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12"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《中级会计实务》练习题精选（七）</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在进行减值测试时，企业不应当以内部转移价格为基础预计资产的未来现金流量，而应当采用在公平交易中企业管理层能够达成的最佳的未来价格估计数进行预计。（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本题考核资产预计未来现金流量现值的确定。企业不应以内部转移价格预计未来现金流量。</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下列关于可收回金额的表述，正确的是（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A、可收回金额应当根据资产的公允价值与资产预计未来现金流量的现值两者之间较高者确定</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B、可收回金额应当根据资产的公允价值减去处置费用后的净额与资产预计未来现金流量两者之间较高者确定</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C、可收回金额应当根据资产的公允价值减去处置费用后的净额与资产预计未来现金流量的现值两者之间较高者确定</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D、可收回金额应当根据资产的账面价值减去处置费用后的净额与资产预计未来现金流量的现值两者之间较高者确定</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本题考核资产可收回金额的计量。可收回金额是按照资产的公允价值减去处置费用后的净额与预计未来现金流量现值两者中较高者确定的。</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下列各项中，属于资产减值准则所规范的资产有（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A、对联营企业的长期股权投资</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B、商誉</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C、采用公允价值模式进行后续计量的投资性房地产</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D、存货</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减值的概念及其范围。资产减值准则中所包括的资产主要是非流动资产，所以没有存货；采用公允价值模式计量的投资性房地产，期末根据其公允价值调整账面价值，即公允价值和账面价值的差额计入当期损益，不计提资产减值准备。</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下列关于减值测试的表述中，不正确的有（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A、如果没有出现减值迹象，则企业不需对商誉进行减值测试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B、如果没有出现减值迹象，则企业不需对固定资产进行减值测试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C、如果没有出现减值迹象，则企业不需对尚未完工的无形资产进行减值测试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D、对于因企业合并形成的商誉及使用寿命不确定的无形资产，企业至少应于每年年末进行减值测试</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本题考核资产减值测试及其会计处理。因企业合并形成的商誉、使用寿命不确定的无形资产以及尚未完工的无形资产，企业至少应于每年年末进行减值测试。</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下列关于资产组的表述中，不正确的是（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A、在企业难以对单项资产的可收回金额进行估计的情况下，应当以该资产所属的资产组为基础确定资产组的可收回金额</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B、资产组应当由与创造现金流入相关的资产构成</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C、资产组组合，是指由若干个资产组组成的任何资产组组合</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D、资产组一经确定，在各个会计期间应保持一致，不得随意变更</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本题考核资产组的认定。选项C，资产组组合是指由若干个资产组组成的最小资产组组合，包括资产组或者资产组组合，以及按合理方法分摊的总部资产部分。</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如果某资产组在计算可收回金额时考虑了某项负债的金额，则该资产组在计算账面价值时也应考虑这部分负债的金额。（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本题考核资产可收回金额的计量。如果确定资产组可收回金额时包括了某项负债的价值，则根据一致性要求，在确定账面价值时也应考虑该部分负债的金额。</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下列项目中，不属于确定资产“公允价值减去处置费用后的净额”中的“处置费用”的是（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A、与资产处置有关的法律费用</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B、与资产处置有关的相关税费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C、与资产处置有关的搬运费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D、与资产处置有关的所得税费用</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的公允价值减去处置费用后净额的确定。处置费用是指可以直接归属于资产处置的增量成本。包括与资产处置有关的法律费用、相关税费、搬运费以及为使资产达到可销售状态所发生的直接费用等，但不包括财务费用和所得税费用。</w:t>
      </w:r>
    </w:p>
    <w:p w:rsidR="00B63718" w:rsidRPr="00AE5ED3" w:rsidRDefault="00B63718" w:rsidP="00B63718">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13"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《中级会计实务》练习题精选（八）</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下列各项属于金融资产的有（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A、应收票据</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B、垫款</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C、债权投资</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D、期权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ABCD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本题考核金融资产的分类。金融资产主要包括库存现金、应收账款、应收票据、贷款、垫款、其他应收款、应收利息、债权投资、股权投资、基金投资、衍生金融资产等，其中期权属于衍生金融资产。</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收到购买交易性金融资产时支付的价款中包含的已到付息期但尚未领取的利息，应计入当期损益。（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本题考核交易性金融资产的会计处理。购买交易性金融资产时支付的价款中包含的已到付息期但尚未领取的利息计入应收利息科目，实际收到该利息时，借记“银行存款”，贷记“应收利息”，不计入当期损益。</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下列关于可供出售金融资产后续计量的表述中，正确的是（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A、按照公允价值进行后续计量，公允价值变动计入当期投资收益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B、按照摊余成本进行后续计量</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C、按照公允价值进行后续计量，公允价值变动计入其他综合收益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D、按照公允价值进行后续计量，公允价值变动计入当期公允价值变动损益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本题考核金融资产的后续计量。可供出售金融资产是按公允价值后续计量的，公允价值变动计入其他综合收益。</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下列关于金融资产初始计量的表述中，不正确的是（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A、以公允价值计量且其变动计入当期损益的金融资产，初始计量为公允价值,交易费用计入当期损益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B、持有至到期投资，初始计量为公允价值，交易费用计入初始入账金额</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C、贷款和应收款项，初始计量为公允价值，交易费用计入初始入账金额</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D、可供出售金融资产，初始计量为公允价值，交易费用计入资本公积</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本题考核金融资产的初始计量。可供出售金融资产，初始计量为公允价值，交易费用计入初始入账金额。</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可供出售金融资产为到期一次还本付息的债券投资时，按票面利率计算的应收未收利息，计入应收利息科目。（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本题考核可供出售金融资产的会计处理。应记入“可供出售金融资产——应计利息”科目。</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企业将持有至到期投资重分类为可供出售金融资产，在重分类日该债券的公允价值为50万元，其账面余额为48万元（未计提减值准备）。不考虑其他因素，则该企业在重分类日应做的会计处理有（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A、确认可供出售金融资产50万元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B、确认其他综合收益2万元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C、确认投资收益2万元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D、确认可供出售金融资产48万元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【答案解析】 本题考核不同金融资产的重分类。将持有至到期投资重分类为可供出售金融资产时，应在重分类日按其公允价值，借记“可供出售金融资产”科目，按其账面余额，贷记“持有至到期投资”科目，按其差额，贷记或借记“其他综合收益”科目；已计提减值准备的，还应同时结转减值准备。</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对于已确认减值损失的可供出售金融资产，在随后的会计期间公允价值已上升且客观上与原减值损失确认后发生的事项有关而转回原确认的减值损失时，可能计入的科目有（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A、资产减值损失</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B、投资收益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C、其他综合收益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D、营业外收入</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本题考核资产减值的会计处理。可供出售债务工具的减值转回计入“资产减值损失”科目；权益工具的减值转回计入“其他综合收益”科目。   </w:t>
      </w:r>
    </w:p>
    <w:p w:rsidR="00B63718" w:rsidRPr="00AE5ED3" w:rsidRDefault="00B63718" w:rsidP="00B63718">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14"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《中级会计实务》练习题精选（九）</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下列各项中，可能属于以现金结算的股份支付的权益工具有（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A、虚拟股票</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B、模拟股票</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C、业绩股票期权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D、现金股票增值权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ABCD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本题考核股份支付的分类。以现金结算的股份支付最常用的工具有两类：模拟股票和现金股票增值权，企业授予的虚拟股票或业绩股票也属于以现金结算的股份支付。</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关于股份支付的计量，下列说法中正确的有（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A、以现金结算的股份支付，应按资产负债表日权益工具的公允价值重新计量</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B、以现金结算的股份支付，应按授予日权益工具的公允价值计量，不确认其后续公允价值变动</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C、以权益结算的股份支付，应按授予日权益工具的公允价值计量，不确认其后续公允价值变动</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D、无论是以权益结算的股份支付，还是以现金结算的股份支付，均应按资产负债表日权益工具的公允价值重新计量</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本题考核股份支付的相关计量。以现金结算的股份支付，应按资产负债表日权益工具的公允价值重新计量；以权益结算的股份支付，应按授予日权益工具的公允价值计量，不确认其后续公允价值变动。</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对于权益结算的股份支付，应当按照每个资产负债表日权益工具的公允价值重新计量，确定成本费用和资本公积。（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本题考核以权益结算股份支付的核算。对于权益结算的股份支付，应当按照授予日权益工具的公允价值计入成本费用和资本公积。</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公司为上市公司。2008年1月1日，A公司向其100名管理人员每人授予100份股票期权，这些职员从2008年1月1日起在该公司连续服务3年，即可以每股5元的价格购买100股A公司股票。A公司估计该期权在授予日的公允价值为18元。至2010年12月31日实际离职人员为10人，A公司累计计入“资本公积——其他资本公积”科目的金额为162 000元。假设剩余90名职员在2011年12月31日全部行权，A公司股份面值为1元，则计入“资本公积——股本溢价”科目的金额为（ ）元。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A、36 000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B、162 000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C、198 000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D、153 000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本题考核以权益结算股份支付的核算。计入“资本公积——股本溢价”科目的金额＝90×5×100＋162 000－90×100×1＝198 000(元)。</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关于集团股份支付的处理，下列说法中正确的有（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A、结算企业以其本身权益工具结算的，应当将该股份支付交易作为权益结算的股份支付进行会计处理</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B、结算企业以集团内其他企业的权益工具结算的，应当将该股份支付交易作为现金结算的股份支付进行会计处理</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C、接受服务企业没有结算义务的，应当将该股份支付交易作为现金结算的股份支付进行会计处理</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D、接受服务企业授予本企业职工的是其本身权益工具的，应当将该股份支付交易作为权益结算的股份支付进行会计处理</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集团内涉及不同企业的股份支付交易的会计处理。选项C，接受服务企业没有结算义务（如母公司直接向该子公司的高管人员授予股份），或者授予本企业职工的是其本身权益工具的，应当将该股份支付交易作为权益结算的股份支付进行会计处理，确认接受服务的成本费用，同时确认资本公积（其他资本公积）。</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公司与其管理层签订一份股份支付协议，协议规定：今后3年中，公司股价每年提高5％以上，则可获得一定数量的该公司股票。到第三年年末，该目标未实现，A公司在第三年年末确认了收到的管理层提供的服务，增加了成本费用和所有者权益。（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本题考核可行权条件的判断。本题中可行权条件属于业绩条件中的市场条件，市场条件是否满足不影响成本费用的确认。</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 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权益结算的股份支付是对职工或其他方最终要授予股份或支付现金结算方式。（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本题考核股份支付的特征、环节和类型。以权益结算的股份支付，其以股份或认股权来支付；而现金结算的股份支付则是以现金来支付。</w:t>
      </w:r>
    </w:p>
    <w:p w:rsidR="00B63718" w:rsidRPr="00AE5ED3" w:rsidRDefault="00B63718" w:rsidP="00B63718">
      <w:pPr>
        <w:pStyle w:val="a3"/>
        <w:spacing w:before="136" w:beforeAutospacing="0" w:after="136" w:afterAutospacing="0" w:line="326" w:lineRule="atLeast"/>
        <w:jc w:val="center"/>
        <w:rPr>
          <w:rStyle w:val="a4"/>
          <w:sz w:val="30"/>
          <w:szCs w:val="30"/>
        </w:rPr>
      </w:pPr>
      <w:r w:rsidRPr="00AE5ED3">
        <w:rPr>
          <w:rStyle w:val="a4"/>
          <w:rFonts w:hint="eastAsia"/>
          <w:color w:val="000000"/>
          <w:sz w:val="30"/>
          <w:szCs w:val="30"/>
        </w:rPr>
        <w:t>2016年</w:t>
      </w:r>
      <w:hyperlink r:id="rId15" w:tgtFrame="_blank" w:tooltip="中级会计职称考试" w:history="1">
        <w:r w:rsidRPr="00AE5ED3">
          <w:rPr>
            <w:rStyle w:val="a4"/>
            <w:rFonts w:hint="eastAsia"/>
            <w:b w:val="0"/>
            <w:bCs w:val="0"/>
            <w:color w:val="000000"/>
            <w:sz w:val="30"/>
            <w:szCs w:val="30"/>
          </w:rPr>
          <w:t>中级会计职称考试</w:t>
        </w:r>
      </w:hyperlink>
      <w:r w:rsidRPr="00AE5ED3">
        <w:rPr>
          <w:rStyle w:val="a4"/>
          <w:rFonts w:hint="eastAsia"/>
          <w:color w:val="000000"/>
          <w:sz w:val="30"/>
          <w:szCs w:val="30"/>
        </w:rPr>
        <w:t>《中级会计实务》练习题精选（十）</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1.单选题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企业2011年1月1日发行的3年期公司债券，实际收到款项28.56万元，债券面值30万元，到期一次还本付息，票面利率10％，实际利率12％。对利息调整采用实际利率法摊销，不考虑其他因素，则2012年12月31日应付债券的账面余额为（ ）万元。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A、36.09</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B、31.99</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C、35.83</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D、36.83</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本题考核应付债券的核算。2011年12月31日应付债券的摊余成本＝28.56＋28.56×12％＝31.99(万元)。2012年12月31日应付债券的摊余成本＝31.99+31.99×12％＝35.83(万元)。</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2.多选题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下列关于可转换公司债券的表述，正确的有（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A、企业发行的可转换公司债券，应单独设置“可转换公司债券”科目进行核算</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B、可转换公司债券的负债成分，在转换为股份前，其会计处理与一般公司债券相同</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C、负债成分的公允价值，是合同规定的未来现金流量按一定利率折现的现值</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D、发行可转换公司债券发生的交易费用，应当在负债成分和权益成分间分摊</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BCD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本题考核可转换公司债券的核算。选项A，企业发行的可转换公司债券，应在“应付债券”科目下设置“可转换公司债券”明细科目进行核算。</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3.判断题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不管是资本化期间还是费用化期间，闲置专门借款资金取得的固定收益债券利息收入都应该直接计入当期投资收益。（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本题考核借款利息资本化金额的确定。资本化期间内获得的专门借款闲置资金利息收入应冲减资本化利息费用金额，即冲减在建工程的金额。费用化期间的专门借款闲置资金利息收入计入财务费用。</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4.判断题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在资本化期间内，外币借款本金及其利息的汇兑差额应予资本化。（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错</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lastRenderedPageBreak/>
        <w:t>【答案解析】 本题考核外币借款汇兑差额的核算。在资本化期间内，外币专门借款本金及其利息的汇兑差额应予资本化，外币一般借款本金和利息的汇兑差额，则不应予以资本化。</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5.多选题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下列各项中，不应暂停借款费用资本化的有（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A、因重大安全事故导致固定资产建造活动连续中断超过3个月</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B、因事先无法预见的不可抗力因素导致固定资产建造活动连续中断超过3个月</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C、因施工质量例行检查导致固定资产建造活动连续中断超过3个月</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D、因可预见的不可抗力因素导致固定资产建造活动连续中断超过3个月</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CD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暂停借款费用资本化。正常中断导致的工程停工，不需暂停借款费用资本化，正常中断通常仅限于因购建或者生产符合资本化条件的资产达到预定可使用或者可销售状态所必要的程序，或者事先可预见的不可抗力因素导致的中断，因此选项CD正确。</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6.多选题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应通过“长期应付款”科目核算的经济业务有（ ）。</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A、以分期付款方式购入固定资产发生的应付款</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B、以分期付款方式购入无形资产发生的应付款</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C、应付经营租入固定资产的租赁费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D、应付融资租入固定资产的租赁费</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ABD</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【答案解析】 本题考核长期应付款的核算。“长期应付款”科目核算的经济业务包括以分期付款方式购入固定资产和无形资产发生的应付款项、应付融资租入固定资产的租赁费等。</w:t>
      </w:r>
    </w:p>
    <w:p w:rsidR="00B63718" w:rsidRDefault="00B63718" w:rsidP="00B63718">
      <w:pPr>
        <w:pStyle w:val="a3"/>
        <w:spacing w:before="136" w:beforeAutospacing="0" w:after="136" w:afterAutospacing="0" w:line="326" w:lineRule="atLeast"/>
        <w:ind w:firstLine="480"/>
        <w:rPr>
          <w:color w:val="000000"/>
          <w:sz w:val="19"/>
          <w:szCs w:val="19"/>
        </w:rPr>
      </w:pPr>
      <w:r>
        <w:rPr>
          <w:rStyle w:val="a4"/>
          <w:rFonts w:hint="eastAsia"/>
          <w:color w:val="000000"/>
          <w:sz w:val="19"/>
          <w:szCs w:val="19"/>
        </w:rPr>
        <w:t>7.单选题</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甲公司采用融资租赁方式租入M设备，该设备的公允价值为200万元，最低租赁付款额的现值为186万元，甲公司在租赁谈判和签订租赁合同过程中发生手续费、律师费等合计为4万元。甲公司融资租入固定资产的入账价值为（ ）万元。</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A、190</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B、186</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C、182</w:t>
      </w:r>
    </w:p>
    <w:p w:rsidR="00B63718" w:rsidRDefault="00B63718" w:rsidP="00B63718">
      <w:pPr>
        <w:pStyle w:val="a3"/>
        <w:spacing w:before="136" w:beforeAutospacing="0" w:after="136" w:afterAutospacing="0" w:line="326" w:lineRule="atLeast"/>
        <w:ind w:firstLine="480"/>
        <w:rPr>
          <w:color w:val="000000"/>
          <w:sz w:val="19"/>
          <w:szCs w:val="19"/>
        </w:rPr>
      </w:pPr>
      <w:r>
        <w:rPr>
          <w:rFonts w:hint="eastAsia"/>
          <w:color w:val="000000"/>
          <w:sz w:val="19"/>
          <w:szCs w:val="19"/>
        </w:rPr>
        <w:t>D、200</w:t>
      </w:r>
    </w:p>
    <w:p w:rsidR="0048537F" w:rsidRPr="003E0C7E" w:rsidRDefault="00B63718" w:rsidP="003E0C7E">
      <w:pPr>
        <w:pStyle w:val="a3"/>
        <w:spacing w:before="136" w:beforeAutospacing="0" w:after="136" w:afterAutospacing="0" w:line="326" w:lineRule="atLeast"/>
        <w:ind w:firstLine="480"/>
        <w:rPr>
          <w:color w:val="000000"/>
          <w:sz w:val="19"/>
          <w:szCs w:val="19"/>
        </w:rPr>
      </w:pPr>
      <w:r>
        <w:rPr>
          <w:rFonts w:hint="eastAsia"/>
          <w:color w:val="000000"/>
          <w:sz w:val="19"/>
          <w:szCs w:val="19"/>
        </w:rPr>
        <w:t>【正确答案】 A【答案解析】 本题考核融资租入固定资产的核算。融资租入固定资产的入账价值＝186＋4＝190(万元)。     </w:t>
      </w:r>
    </w:p>
    <w:sectPr w:rsidR="0048537F" w:rsidRPr="003E0C7E" w:rsidSect="00AE5ED3">
      <w:headerReference w:type="default" r:id="rId16"/>
      <w:footerReference w:type="default" r:id="rId1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3ED" w:rsidRDefault="006673ED" w:rsidP="00AE5ED3">
      <w:pPr>
        <w:ind w:firstLine="420"/>
      </w:pPr>
      <w:r>
        <w:separator/>
      </w:r>
    </w:p>
  </w:endnote>
  <w:endnote w:type="continuationSeparator" w:id="1">
    <w:p w:rsidR="006673ED" w:rsidRDefault="006673ED" w:rsidP="00AE5ED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D3" w:rsidRPr="00AE5ED3" w:rsidRDefault="00AE5ED3" w:rsidP="00AE5ED3">
    <w:pPr>
      <w:pStyle w:val="a7"/>
      <w:ind w:firstLine="420"/>
      <w:jc w:val="center"/>
      <w:rPr>
        <w:rFonts w:ascii="宋体" w:eastAsia="宋体" w:hAnsi="宋体"/>
        <w:sz w:val="21"/>
        <w:szCs w:val="21"/>
      </w:rPr>
    </w:pPr>
    <w:r>
      <w:rPr>
        <w:rFonts w:ascii="宋体" w:eastAsia="宋体" w:hAnsi="宋体" w:hint="eastAsia"/>
        <w:sz w:val="21"/>
        <w:szCs w:val="21"/>
      </w:rPr>
      <w:t>深圳华信会计学院</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3ED" w:rsidRDefault="006673ED" w:rsidP="00AE5ED3">
      <w:pPr>
        <w:ind w:firstLine="420"/>
      </w:pPr>
      <w:r>
        <w:separator/>
      </w:r>
    </w:p>
  </w:footnote>
  <w:footnote w:type="continuationSeparator" w:id="1">
    <w:p w:rsidR="006673ED" w:rsidRDefault="006673ED" w:rsidP="00AE5ED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ED3" w:rsidRDefault="00AE5ED3" w:rsidP="00AE5ED3">
    <w:pPr>
      <w:pStyle w:val="a6"/>
      <w:jc w:val="both"/>
    </w:pPr>
    <w:r>
      <w:rPr>
        <w:rFonts w:hint="eastAsia"/>
        <w:noProof/>
      </w:rPr>
      <w:drawing>
        <wp:inline distT="0" distB="0" distL="0" distR="0">
          <wp:extent cx="2441575" cy="6731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41575" cy="673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2A7"/>
    <w:rsid w:val="001002FF"/>
    <w:rsid w:val="003E0C7E"/>
    <w:rsid w:val="0048537F"/>
    <w:rsid w:val="006673ED"/>
    <w:rsid w:val="00767BED"/>
    <w:rsid w:val="007D22A7"/>
    <w:rsid w:val="00A85E47"/>
    <w:rsid w:val="00AE5ED3"/>
    <w:rsid w:val="00B63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2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22A7"/>
    <w:rPr>
      <w:b/>
      <w:bCs/>
    </w:rPr>
  </w:style>
  <w:style w:type="character" w:styleId="a5">
    <w:name w:val="Hyperlink"/>
    <w:basedOn w:val="a0"/>
    <w:uiPriority w:val="99"/>
    <w:unhideWhenUsed/>
    <w:rsid w:val="007D22A7"/>
    <w:rPr>
      <w:color w:val="0000FF"/>
      <w:u w:val="single"/>
    </w:rPr>
  </w:style>
  <w:style w:type="paragraph" w:styleId="a6">
    <w:name w:val="header"/>
    <w:basedOn w:val="a"/>
    <w:link w:val="Char"/>
    <w:uiPriority w:val="99"/>
    <w:semiHidden/>
    <w:unhideWhenUsed/>
    <w:rsid w:val="00AE5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E5ED3"/>
    <w:rPr>
      <w:sz w:val="18"/>
      <w:szCs w:val="18"/>
    </w:rPr>
  </w:style>
  <w:style w:type="paragraph" w:styleId="a7">
    <w:name w:val="footer"/>
    <w:basedOn w:val="a"/>
    <w:link w:val="Char0"/>
    <w:uiPriority w:val="99"/>
    <w:unhideWhenUsed/>
    <w:rsid w:val="00AE5ED3"/>
    <w:pPr>
      <w:tabs>
        <w:tab w:val="center" w:pos="4153"/>
        <w:tab w:val="right" w:pos="8306"/>
      </w:tabs>
      <w:snapToGrid w:val="0"/>
      <w:jc w:val="left"/>
    </w:pPr>
    <w:rPr>
      <w:sz w:val="18"/>
      <w:szCs w:val="18"/>
    </w:rPr>
  </w:style>
  <w:style w:type="character" w:customStyle="1" w:styleId="Char0">
    <w:name w:val="页脚 Char"/>
    <w:basedOn w:val="a0"/>
    <w:link w:val="a7"/>
    <w:uiPriority w:val="99"/>
    <w:rsid w:val="00AE5ED3"/>
    <w:rPr>
      <w:sz w:val="18"/>
      <w:szCs w:val="18"/>
    </w:rPr>
  </w:style>
  <w:style w:type="paragraph" w:styleId="a8">
    <w:name w:val="Balloon Text"/>
    <w:basedOn w:val="a"/>
    <w:link w:val="Char1"/>
    <w:uiPriority w:val="99"/>
    <w:semiHidden/>
    <w:unhideWhenUsed/>
    <w:rsid w:val="00AE5ED3"/>
    <w:rPr>
      <w:sz w:val="18"/>
      <w:szCs w:val="18"/>
    </w:rPr>
  </w:style>
  <w:style w:type="character" w:customStyle="1" w:styleId="Char1">
    <w:name w:val="批注框文本 Char"/>
    <w:basedOn w:val="a0"/>
    <w:link w:val="a8"/>
    <w:uiPriority w:val="99"/>
    <w:semiHidden/>
    <w:rsid w:val="00AE5ED3"/>
    <w:rPr>
      <w:sz w:val="18"/>
      <w:szCs w:val="18"/>
    </w:rPr>
  </w:style>
  <w:style w:type="character" w:styleId="a9">
    <w:name w:val="FollowedHyperlink"/>
    <w:basedOn w:val="a0"/>
    <w:uiPriority w:val="99"/>
    <w:semiHidden/>
    <w:unhideWhenUsed/>
    <w:rsid w:val="001002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532297">
      <w:bodyDiv w:val="1"/>
      <w:marLeft w:val="0"/>
      <w:marRight w:val="0"/>
      <w:marTop w:val="0"/>
      <w:marBottom w:val="0"/>
      <w:divBdr>
        <w:top w:val="none" w:sz="0" w:space="0" w:color="auto"/>
        <w:left w:val="none" w:sz="0" w:space="0" w:color="auto"/>
        <w:bottom w:val="none" w:sz="0" w:space="0" w:color="auto"/>
        <w:right w:val="none" w:sz="0" w:space="0" w:color="auto"/>
      </w:divBdr>
    </w:div>
    <w:div w:id="272440858">
      <w:bodyDiv w:val="1"/>
      <w:marLeft w:val="0"/>
      <w:marRight w:val="0"/>
      <w:marTop w:val="0"/>
      <w:marBottom w:val="0"/>
      <w:divBdr>
        <w:top w:val="none" w:sz="0" w:space="0" w:color="auto"/>
        <w:left w:val="none" w:sz="0" w:space="0" w:color="auto"/>
        <w:bottom w:val="none" w:sz="0" w:space="0" w:color="auto"/>
        <w:right w:val="none" w:sz="0" w:space="0" w:color="auto"/>
      </w:divBdr>
    </w:div>
    <w:div w:id="326903192">
      <w:bodyDiv w:val="1"/>
      <w:marLeft w:val="0"/>
      <w:marRight w:val="0"/>
      <w:marTop w:val="0"/>
      <w:marBottom w:val="0"/>
      <w:divBdr>
        <w:top w:val="none" w:sz="0" w:space="0" w:color="auto"/>
        <w:left w:val="none" w:sz="0" w:space="0" w:color="auto"/>
        <w:bottom w:val="none" w:sz="0" w:space="0" w:color="auto"/>
        <w:right w:val="none" w:sz="0" w:space="0" w:color="auto"/>
      </w:divBdr>
    </w:div>
    <w:div w:id="505629435">
      <w:bodyDiv w:val="1"/>
      <w:marLeft w:val="0"/>
      <w:marRight w:val="0"/>
      <w:marTop w:val="0"/>
      <w:marBottom w:val="0"/>
      <w:divBdr>
        <w:top w:val="none" w:sz="0" w:space="0" w:color="auto"/>
        <w:left w:val="none" w:sz="0" w:space="0" w:color="auto"/>
        <w:bottom w:val="none" w:sz="0" w:space="0" w:color="auto"/>
        <w:right w:val="none" w:sz="0" w:space="0" w:color="auto"/>
      </w:divBdr>
    </w:div>
    <w:div w:id="631056229">
      <w:bodyDiv w:val="1"/>
      <w:marLeft w:val="0"/>
      <w:marRight w:val="0"/>
      <w:marTop w:val="0"/>
      <w:marBottom w:val="0"/>
      <w:divBdr>
        <w:top w:val="none" w:sz="0" w:space="0" w:color="auto"/>
        <w:left w:val="none" w:sz="0" w:space="0" w:color="auto"/>
        <w:bottom w:val="none" w:sz="0" w:space="0" w:color="auto"/>
        <w:right w:val="none" w:sz="0" w:space="0" w:color="auto"/>
      </w:divBdr>
    </w:div>
    <w:div w:id="1290161711">
      <w:bodyDiv w:val="1"/>
      <w:marLeft w:val="0"/>
      <w:marRight w:val="0"/>
      <w:marTop w:val="0"/>
      <w:marBottom w:val="0"/>
      <w:divBdr>
        <w:top w:val="none" w:sz="0" w:space="0" w:color="auto"/>
        <w:left w:val="none" w:sz="0" w:space="0" w:color="auto"/>
        <w:bottom w:val="none" w:sz="0" w:space="0" w:color="auto"/>
        <w:right w:val="none" w:sz="0" w:space="0" w:color="auto"/>
      </w:divBdr>
    </w:div>
    <w:div w:id="1298335742">
      <w:bodyDiv w:val="1"/>
      <w:marLeft w:val="0"/>
      <w:marRight w:val="0"/>
      <w:marTop w:val="0"/>
      <w:marBottom w:val="0"/>
      <w:divBdr>
        <w:top w:val="none" w:sz="0" w:space="0" w:color="auto"/>
        <w:left w:val="none" w:sz="0" w:space="0" w:color="auto"/>
        <w:bottom w:val="none" w:sz="0" w:space="0" w:color="auto"/>
        <w:right w:val="none" w:sz="0" w:space="0" w:color="auto"/>
      </w:divBdr>
    </w:div>
    <w:div w:id="1332566191">
      <w:bodyDiv w:val="1"/>
      <w:marLeft w:val="0"/>
      <w:marRight w:val="0"/>
      <w:marTop w:val="0"/>
      <w:marBottom w:val="0"/>
      <w:divBdr>
        <w:top w:val="none" w:sz="0" w:space="0" w:color="auto"/>
        <w:left w:val="none" w:sz="0" w:space="0" w:color="auto"/>
        <w:bottom w:val="none" w:sz="0" w:space="0" w:color="auto"/>
        <w:right w:val="none" w:sz="0" w:space="0" w:color="auto"/>
      </w:divBdr>
    </w:div>
    <w:div w:id="1369183126">
      <w:bodyDiv w:val="1"/>
      <w:marLeft w:val="0"/>
      <w:marRight w:val="0"/>
      <w:marTop w:val="0"/>
      <w:marBottom w:val="0"/>
      <w:divBdr>
        <w:top w:val="none" w:sz="0" w:space="0" w:color="auto"/>
        <w:left w:val="none" w:sz="0" w:space="0" w:color="auto"/>
        <w:bottom w:val="none" w:sz="0" w:space="0" w:color="auto"/>
        <w:right w:val="none" w:sz="0" w:space="0" w:color="auto"/>
      </w:divBdr>
    </w:div>
    <w:div w:id="17266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zhongjizhicheng/" TargetMode="External"/><Relationship Id="rId13" Type="http://schemas.openxmlformats.org/officeDocument/2006/relationships/hyperlink" Target="http://www.chinaacc.com/zhongjizhiche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acc.com/zhongjizhicheng/" TargetMode="External"/><Relationship Id="rId12" Type="http://schemas.openxmlformats.org/officeDocument/2006/relationships/hyperlink" Target="http://www.chinaacc.com/zhongjizhiche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zhxpx.org/zt/kuaijizhonhgji/" TargetMode="External"/><Relationship Id="rId11" Type="http://schemas.openxmlformats.org/officeDocument/2006/relationships/hyperlink" Target="http://www.chinaacc.com/zhongjizhicheng/" TargetMode="External"/><Relationship Id="rId5" Type="http://schemas.openxmlformats.org/officeDocument/2006/relationships/endnotes" Target="endnotes.xml"/><Relationship Id="rId15" Type="http://schemas.openxmlformats.org/officeDocument/2006/relationships/hyperlink" Target="http://www.chinaacc.com/zhongjizhicheng/" TargetMode="External"/><Relationship Id="rId10" Type="http://schemas.openxmlformats.org/officeDocument/2006/relationships/hyperlink" Target="http://www.chinaacc.com/zhongjizhiche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hinaacc.com/zhongjizhicheng/" TargetMode="External"/><Relationship Id="rId14" Type="http://schemas.openxmlformats.org/officeDocument/2006/relationships/hyperlink" Target="http://www.chinaacc.com/zhongjizhich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2311</Words>
  <Characters>13175</Characters>
  <Application>Microsoft Office Word</Application>
  <DocSecurity>0</DocSecurity>
  <Lines>109</Lines>
  <Paragraphs>30</Paragraphs>
  <ScaleCrop>false</ScaleCrop>
  <Company>user</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2016-06-21T08:11:00Z</dcterms:created>
  <dcterms:modified xsi:type="dcterms:W3CDTF">2016-09-02T10:06:00Z</dcterms:modified>
</cp:coreProperties>
</file>